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03" w:rsidRDefault="00DC1A03" w:rsidP="008E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1584960" cy="614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 Logo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00" cy="61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88" w:rsidRPr="00DC1A03" w:rsidRDefault="008E6688" w:rsidP="008E6688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DC1A03">
        <w:rPr>
          <w:rFonts w:eastAsia="Times New Roman" w:cstheme="minorHAnsi"/>
          <w:b/>
          <w:sz w:val="24"/>
          <w:szCs w:val="20"/>
        </w:rPr>
        <w:t>Determining Priority Area(s)</w:t>
      </w:r>
      <w:r w:rsidR="00093B4A" w:rsidRPr="00DC1A03">
        <w:rPr>
          <w:rFonts w:eastAsia="Times New Roman" w:cstheme="minorHAnsi"/>
          <w:b/>
          <w:sz w:val="24"/>
          <w:szCs w:val="20"/>
        </w:rPr>
        <w:t xml:space="preserve"> for </w:t>
      </w:r>
      <w:r w:rsidR="00A154CC" w:rsidRPr="00DC1A03">
        <w:rPr>
          <w:rFonts w:eastAsia="Times New Roman" w:cstheme="minorHAnsi"/>
          <w:b/>
          <w:sz w:val="24"/>
          <w:szCs w:val="20"/>
        </w:rPr>
        <w:t>System Improvement</w:t>
      </w:r>
    </w:p>
    <w:p w:rsidR="00A154CC" w:rsidRPr="00DC1A03" w:rsidRDefault="00A154CC" w:rsidP="008E6688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:rsidR="008E6688" w:rsidRPr="00DC1A03" w:rsidRDefault="00093B4A" w:rsidP="008E6688">
      <w:pPr>
        <w:spacing w:after="0" w:line="240" w:lineRule="auto"/>
        <w:rPr>
          <w:rFonts w:eastAsia="Times New Roman" w:cstheme="minorHAnsi"/>
          <w:i/>
        </w:rPr>
      </w:pPr>
      <w:r w:rsidRPr="00DC1A03">
        <w:rPr>
          <w:rFonts w:eastAsia="Times New Roman" w:cstheme="minorHAnsi"/>
        </w:rPr>
        <w:t>Refer back to your completed needs assessment and c</w:t>
      </w:r>
      <w:r w:rsidR="008E6688" w:rsidRPr="00DC1A03">
        <w:rPr>
          <w:rFonts w:eastAsia="Times New Roman" w:cstheme="minorHAnsi"/>
        </w:rPr>
        <w:t xml:space="preserve">onsider selecting a </w:t>
      </w:r>
      <w:r w:rsidR="008E6688" w:rsidRPr="00DC1A03">
        <w:rPr>
          <w:rFonts w:eastAsia="Times New Roman" w:cstheme="minorHAnsi"/>
          <w:b/>
          <w:i/>
        </w:rPr>
        <w:t>limited</w:t>
      </w:r>
      <w:r w:rsidR="008E6688" w:rsidRPr="00DC1A03">
        <w:rPr>
          <w:rFonts w:eastAsia="Times New Roman" w:cstheme="minorHAnsi"/>
        </w:rPr>
        <w:t xml:space="preserve"> number of priority areas to focus on </w:t>
      </w:r>
      <w:r w:rsidR="00591F8C" w:rsidRPr="00DC1A03">
        <w:rPr>
          <w:rFonts w:eastAsia="Times New Roman" w:cstheme="minorHAnsi"/>
        </w:rPr>
        <w:t>during the next 2-3 years</w:t>
      </w:r>
      <w:r w:rsidR="008E6688" w:rsidRPr="00DC1A03">
        <w:rPr>
          <w:rFonts w:eastAsia="Times New Roman" w:cstheme="minorHAnsi"/>
        </w:rPr>
        <w:t xml:space="preserve"> as part of your continuous improvement efforts. Think about need, stakeholder and leadership interest, impact potential, opportunities, and time commitment before determining priority areas and strategies. </w:t>
      </w:r>
    </w:p>
    <w:p w:rsidR="008E6688" w:rsidRPr="008E6688" w:rsidRDefault="008E6688" w:rsidP="008E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210"/>
        <w:gridCol w:w="8190"/>
      </w:tblGrid>
      <w:tr w:rsidR="008E6688" w:rsidRPr="008E6688" w:rsidTr="00696860">
        <w:trPr>
          <w:cantSplit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4A" w:rsidRPr="00DC1A03" w:rsidRDefault="00093B4A" w:rsidP="00093B4A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  <w:bookmarkStart w:id="0" w:name="_Hlk168290249"/>
            <w:r w:rsidRPr="00DC1A03">
              <w:rPr>
                <w:rFonts w:eastAsia="Times New Roman" w:cstheme="minorHAnsi"/>
                <w:b/>
                <w:szCs w:val="20"/>
              </w:rPr>
              <w:t xml:space="preserve">A. What </w:t>
            </w:r>
            <w:r w:rsidR="00805513" w:rsidRPr="00DC1A03">
              <w:rPr>
                <w:rFonts w:eastAsia="Times New Roman" w:cstheme="minorHAnsi"/>
                <w:b/>
                <w:szCs w:val="20"/>
              </w:rPr>
              <w:t>priority areas have been identified</w:t>
            </w:r>
            <w:r w:rsidRPr="00DC1A03">
              <w:rPr>
                <w:rFonts w:eastAsia="Times New Roman" w:cstheme="minorHAnsi"/>
                <w:b/>
                <w:szCs w:val="20"/>
              </w:rPr>
              <w:t>?</w:t>
            </w:r>
            <w:r w:rsidR="00A154CC" w:rsidRPr="00DC1A03">
              <w:rPr>
                <w:rFonts w:eastAsia="Times New Roman" w:cstheme="minorHAnsi"/>
                <w:b/>
                <w:szCs w:val="20"/>
              </w:rPr>
              <w:t xml:space="preserve"> </w:t>
            </w:r>
            <w:r w:rsidR="00A154CC" w:rsidRPr="00DC1A03">
              <w:rPr>
                <w:rFonts w:cstheme="minorHAnsi"/>
                <w:i/>
                <w:color w:val="808080" w:themeColor="background1" w:themeShade="80"/>
              </w:rPr>
              <w:t xml:space="preserve">(Examples: </w:t>
            </w:r>
            <w:hyperlink r:id="rId8" w:history="1">
              <w:proofErr w:type="spellStart"/>
              <w:r w:rsidR="00A154CC" w:rsidRPr="00DC1A03">
                <w:rPr>
                  <w:rStyle w:val="Hyperlink"/>
                  <w:rFonts w:cstheme="minorHAnsi"/>
                  <w:i/>
                  <w:color w:val="000080" w:themeColor="hyperlink" w:themeShade="80"/>
                </w:rPr>
                <w:t>Systemwide</w:t>
              </w:r>
              <w:proofErr w:type="spellEnd"/>
              <w:r w:rsidR="00A154CC" w:rsidRPr="00DC1A03">
                <w:rPr>
                  <w:rStyle w:val="Hyperlink"/>
                  <w:rFonts w:cstheme="minorHAnsi"/>
                  <w:i/>
                  <w:color w:val="000080" w:themeColor="hyperlink" w:themeShade="80"/>
                </w:rPr>
                <w:t xml:space="preserve"> Oversight, Infrastructure, &amp; Organization</w:t>
              </w:r>
            </w:hyperlink>
            <w:r w:rsidR="00A154CC" w:rsidRPr="00DC1A03">
              <w:rPr>
                <w:rFonts w:cstheme="minorHAnsi"/>
                <w:i/>
                <w:color w:val="808080" w:themeColor="background1" w:themeShade="80"/>
              </w:rPr>
              <w:t xml:space="preserve">; </w:t>
            </w:r>
            <w:hyperlink r:id="rId9" w:history="1">
              <w:r w:rsidR="00A154CC" w:rsidRPr="00DC1A03">
                <w:rPr>
                  <w:rStyle w:val="Hyperlink"/>
                  <w:rFonts w:cstheme="minorHAnsi"/>
                  <w:i/>
                  <w:color w:val="000080" w:themeColor="hyperlink" w:themeShade="80"/>
                </w:rPr>
                <w:t>Access &amp; Delivery</w:t>
              </w:r>
            </w:hyperlink>
            <w:r w:rsidR="00A154CC" w:rsidRPr="00DC1A03">
              <w:rPr>
                <w:rFonts w:cstheme="minorHAnsi"/>
                <w:i/>
                <w:color w:val="808080" w:themeColor="background1" w:themeShade="80"/>
              </w:rPr>
              <w:t xml:space="preserve">;  </w:t>
            </w:r>
            <w:hyperlink r:id="rId10" w:history="1">
              <w:r w:rsidR="00A154CC" w:rsidRPr="00DC1A03">
                <w:rPr>
                  <w:rStyle w:val="Hyperlink"/>
                  <w:rFonts w:cstheme="minorHAnsi"/>
                  <w:i/>
                  <w:color w:val="000080" w:themeColor="hyperlink" w:themeShade="80"/>
                </w:rPr>
                <w:t>Standards &amp; Professional Development</w:t>
              </w:r>
            </w:hyperlink>
            <w:r w:rsidR="00A154CC" w:rsidRPr="00DC1A03">
              <w:rPr>
                <w:rFonts w:cstheme="minorHAnsi"/>
                <w:i/>
                <w:color w:val="808080" w:themeColor="background1" w:themeShade="80"/>
              </w:rPr>
              <w:t xml:space="preserve">; </w:t>
            </w:r>
            <w:hyperlink r:id="rId11" w:history="1">
              <w:r w:rsidR="00A154CC" w:rsidRPr="00DC1A03">
                <w:rPr>
                  <w:rStyle w:val="Hyperlink"/>
                  <w:rFonts w:cstheme="minorHAnsi"/>
                  <w:i/>
                  <w:color w:val="000080" w:themeColor="hyperlink" w:themeShade="80"/>
                </w:rPr>
                <w:t>Public Awareness &amp; Outreach</w:t>
              </w:r>
            </w:hyperlink>
            <w:r w:rsidR="00A154CC" w:rsidRPr="00DC1A03">
              <w:rPr>
                <w:rFonts w:cstheme="minorHAnsi"/>
                <w:i/>
                <w:color w:val="808080" w:themeColor="background1" w:themeShade="80"/>
              </w:rPr>
              <w:t xml:space="preserve">; </w:t>
            </w:r>
            <w:hyperlink r:id="rId12" w:history="1">
              <w:r w:rsidR="00A154CC" w:rsidRPr="00DC1A03">
                <w:rPr>
                  <w:rStyle w:val="Hyperlink"/>
                  <w:rFonts w:cstheme="minorHAnsi"/>
                  <w:i/>
                  <w:color w:val="000080" w:themeColor="hyperlink" w:themeShade="80"/>
                </w:rPr>
                <w:t>Evaluation &amp; CQI</w:t>
              </w:r>
            </w:hyperlink>
            <w:r w:rsidR="00A154CC" w:rsidRPr="00DC1A03">
              <w:rPr>
                <w:rFonts w:cstheme="minorHAnsi"/>
                <w:i/>
                <w:color w:val="808080" w:themeColor="background1" w:themeShade="80"/>
              </w:rPr>
              <w:t>)</w:t>
            </w:r>
          </w:p>
          <w:p w:rsidR="008E6688" w:rsidRPr="00DC1A03" w:rsidRDefault="008E6688" w:rsidP="008E6688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88" w:rsidRPr="00DC1A03" w:rsidRDefault="00093B4A" w:rsidP="00591F8C">
            <w:pPr>
              <w:widowControl w:val="0"/>
              <w:spacing w:after="45" w:line="240" w:lineRule="auto"/>
              <w:rPr>
                <w:rFonts w:eastAsia="Times New Roman" w:cstheme="minorHAnsi"/>
                <w:b/>
                <w:szCs w:val="20"/>
              </w:rPr>
            </w:pPr>
            <w:r w:rsidRPr="00DC1A03">
              <w:rPr>
                <w:rFonts w:eastAsia="Times New Roman" w:cstheme="minorHAnsi"/>
                <w:b/>
                <w:szCs w:val="20"/>
              </w:rPr>
              <w:t xml:space="preserve">Provide rationale for selecting </w:t>
            </w:r>
            <w:r w:rsidR="00591F8C" w:rsidRPr="00DC1A03">
              <w:rPr>
                <w:rFonts w:eastAsia="Times New Roman" w:cstheme="minorHAnsi"/>
                <w:b/>
                <w:szCs w:val="20"/>
              </w:rPr>
              <w:t>each priority area.</w:t>
            </w:r>
          </w:p>
        </w:tc>
      </w:tr>
      <w:tr w:rsidR="008E6688" w:rsidRPr="008E6688" w:rsidTr="00696860">
        <w:trPr>
          <w:cantSplit/>
          <w:trHeight w:val="809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88" w:rsidRDefault="008E6688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A154CC" w:rsidRDefault="00A154CC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A154CC" w:rsidRPr="008E6688" w:rsidRDefault="00A154CC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88" w:rsidRPr="008E6688" w:rsidRDefault="008E6688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A154CC" w:rsidRDefault="00A154CC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093B4A" w:rsidRPr="008E6688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</w:tr>
      <w:tr w:rsidR="00093B4A" w:rsidRPr="008E6688" w:rsidTr="00696860">
        <w:trPr>
          <w:cantSplit/>
          <w:trHeight w:val="809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4A" w:rsidRPr="008E6688" w:rsidRDefault="00093B4A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DC1A03" w:rsidRDefault="00DC1A03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A154CC" w:rsidRPr="008E6688" w:rsidRDefault="00A154CC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</w:tr>
      <w:tr w:rsidR="00093B4A" w:rsidRPr="008E6688" w:rsidTr="00696860">
        <w:trPr>
          <w:cantSplit/>
          <w:trHeight w:val="809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4A" w:rsidRPr="008E6688" w:rsidRDefault="00093B4A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DC1A03" w:rsidRPr="008E6688" w:rsidRDefault="00DC1A03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  <w:bookmarkStart w:id="1" w:name="_GoBack"/>
            <w:bookmarkEnd w:id="1"/>
          </w:p>
        </w:tc>
      </w:tr>
      <w:tr w:rsidR="00093B4A" w:rsidRPr="008E6688" w:rsidTr="00696860">
        <w:trPr>
          <w:cantSplit/>
          <w:trHeight w:val="809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4A" w:rsidRPr="008E6688" w:rsidRDefault="00093B4A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093B4A" w:rsidRPr="008E6688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</w:tr>
      <w:tr w:rsidR="00093B4A" w:rsidRPr="008E6688" w:rsidTr="00696860">
        <w:trPr>
          <w:cantSplit/>
          <w:trHeight w:val="809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4A" w:rsidRPr="008E6688" w:rsidRDefault="00093B4A" w:rsidP="00093B4A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093B4A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  <w:p w:rsidR="00093B4A" w:rsidRPr="008E6688" w:rsidRDefault="00093B4A" w:rsidP="008E6688">
            <w:pPr>
              <w:widowControl w:val="0"/>
              <w:spacing w:before="84" w:after="45" w:line="240" w:lineRule="auto"/>
              <w:rPr>
                <w:rFonts w:ascii="Times" w:eastAsia="Times New Roman" w:hAnsi="Times" w:cs="Times New Roman"/>
                <w:szCs w:val="20"/>
              </w:rPr>
            </w:pPr>
          </w:p>
        </w:tc>
      </w:tr>
      <w:bookmarkEnd w:id="0"/>
    </w:tbl>
    <w:p w:rsidR="00E05832" w:rsidRDefault="00E05832" w:rsidP="00093B4A"/>
    <w:sectPr w:rsidR="00E05832" w:rsidSect="00DC1A03">
      <w:footerReference w:type="default" r:id="rId13"/>
      <w:footnotePr>
        <w:numFmt w:val="lowerLetter"/>
      </w:footnotePr>
      <w:endnotePr>
        <w:numFmt w:val="lowerLetter"/>
      </w:endnotePr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4F" w:rsidRDefault="007B4692">
      <w:pPr>
        <w:spacing w:after="0" w:line="240" w:lineRule="auto"/>
      </w:pPr>
      <w:r>
        <w:separator/>
      </w:r>
    </w:p>
  </w:endnote>
  <w:endnote w:type="continuationSeparator" w:id="0">
    <w:p w:rsidR="00C25F4F" w:rsidRDefault="007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61" w:rsidRDefault="008E6688" w:rsidP="00197BDF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A0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1A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4F" w:rsidRDefault="007B4692">
      <w:pPr>
        <w:spacing w:after="0" w:line="240" w:lineRule="auto"/>
      </w:pPr>
      <w:r>
        <w:separator/>
      </w:r>
    </w:p>
  </w:footnote>
  <w:footnote w:type="continuationSeparator" w:id="0">
    <w:p w:rsidR="00C25F4F" w:rsidRDefault="007B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8"/>
    <w:rsid w:val="00093B4A"/>
    <w:rsid w:val="00591F8C"/>
    <w:rsid w:val="00696860"/>
    <w:rsid w:val="007B4692"/>
    <w:rsid w:val="00805513"/>
    <w:rsid w:val="008E6688"/>
    <w:rsid w:val="00A154CC"/>
    <w:rsid w:val="00C25F4F"/>
    <w:rsid w:val="00DC1A03"/>
    <w:rsid w:val="00E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688"/>
  </w:style>
  <w:style w:type="character" w:styleId="PageNumber">
    <w:name w:val="page number"/>
    <w:basedOn w:val="DefaultParagraphFont"/>
    <w:rsid w:val="008E6688"/>
  </w:style>
  <w:style w:type="character" w:styleId="Hyperlink">
    <w:name w:val="Hyperlink"/>
    <w:basedOn w:val="DefaultParagraphFont"/>
    <w:uiPriority w:val="99"/>
    <w:unhideWhenUsed/>
    <w:rsid w:val="00A15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688"/>
  </w:style>
  <w:style w:type="character" w:styleId="PageNumber">
    <w:name w:val="page number"/>
    <w:basedOn w:val="DefaultParagraphFont"/>
    <w:rsid w:val="008E6688"/>
  </w:style>
  <w:style w:type="character" w:styleId="Hyperlink">
    <w:name w:val="Hyperlink"/>
    <w:basedOn w:val="DefaultParagraphFont"/>
    <w:uiPriority w:val="99"/>
    <w:unhideWhenUsed/>
    <w:rsid w:val="00A15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reworks.org/improving-your-system/systemwide-oversight-infrastructure-organiz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dreworks.org/improving-your-system/evaluation-continuous-quality-improvement-cq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adreworks.org/improving-your-system/public-awareness-outreach-activit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dreworks.org/improving-your-system/standards-professional-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dreworks.org/improving-your-system/program-access-delive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Rauscher</dc:creator>
  <cp:lastModifiedBy>Kelly Rauscher</cp:lastModifiedBy>
  <cp:revision>2</cp:revision>
  <dcterms:created xsi:type="dcterms:W3CDTF">2020-05-18T16:36:00Z</dcterms:created>
  <dcterms:modified xsi:type="dcterms:W3CDTF">2020-05-18T16:36:00Z</dcterms:modified>
</cp:coreProperties>
</file>